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D4" w:rsidRPr="008773D4" w:rsidRDefault="008773D4" w:rsidP="008773D4">
      <w:pPr>
        <w:jc w:val="center"/>
        <w:rPr>
          <w:rFonts w:ascii="Times New Roman" w:hAnsi="Times New Roman" w:cs="Times New Roman"/>
          <w:b/>
          <w:sz w:val="24"/>
          <w:szCs w:val="24"/>
        </w:rPr>
      </w:pPr>
      <w:r w:rsidRPr="008773D4">
        <w:rPr>
          <w:rFonts w:ascii="Times New Roman" w:hAnsi="Times New Roman" w:cs="Times New Roman"/>
          <w:b/>
          <w:sz w:val="24"/>
          <w:szCs w:val="24"/>
        </w:rPr>
        <w:t>DÖRDÜNCÜ KISIM</w:t>
      </w:r>
    </w:p>
    <w:p w:rsidR="008773D4" w:rsidRPr="008773D4" w:rsidRDefault="008773D4" w:rsidP="008773D4">
      <w:pPr>
        <w:jc w:val="center"/>
        <w:rPr>
          <w:rFonts w:ascii="Times New Roman" w:hAnsi="Times New Roman" w:cs="Times New Roman"/>
          <w:b/>
          <w:sz w:val="24"/>
          <w:szCs w:val="24"/>
        </w:rPr>
      </w:pPr>
      <w:r w:rsidRPr="008773D4">
        <w:rPr>
          <w:rFonts w:ascii="Times New Roman" w:hAnsi="Times New Roman" w:cs="Times New Roman"/>
          <w:b/>
          <w:sz w:val="24"/>
          <w:szCs w:val="24"/>
        </w:rPr>
        <w:t>Kaynaştırma Yoluyla Eğitim Uygulamaları</w:t>
      </w:r>
    </w:p>
    <w:p w:rsidR="008773D4" w:rsidRPr="008773D4" w:rsidRDefault="008773D4" w:rsidP="008773D4">
      <w:pPr>
        <w:jc w:val="center"/>
        <w:rPr>
          <w:rFonts w:ascii="Times New Roman" w:hAnsi="Times New Roman" w:cs="Times New Roman"/>
          <w:b/>
          <w:sz w:val="24"/>
          <w:szCs w:val="24"/>
        </w:rPr>
      </w:pPr>
      <w:r w:rsidRPr="008773D4">
        <w:rPr>
          <w:rFonts w:ascii="Times New Roman" w:hAnsi="Times New Roman" w:cs="Times New Roman"/>
          <w:b/>
          <w:sz w:val="24"/>
          <w:szCs w:val="24"/>
        </w:rPr>
        <w:t>BİRİNCİ BÖLÜM</w:t>
      </w:r>
    </w:p>
    <w:p w:rsidR="008773D4" w:rsidRPr="008773D4" w:rsidRDefault="008773D4" w:rsidP="008773D4">
      <w:pPr>
        <w:jc w:val="center"/>
        <w:rPr>
          <w:rFonts w:ascii="Times New Roman" w:hAnsi="Times New Roman" w:cs="Times New Roman"/>
          <w:b/>
          <w:sz w:val="24"/>
          <w:szCs w:val="24"/>
        </w:rPr>
      </w:pPr>
      <w:r w:rsidRPr="008773D4">
        <w:rPr>
          <w:rFonts w:ascii="Times New Roman" w:hAnsi="Times New Roman" w:cs="Times New Roman"/>
          <w:b/>
          <w:sz w:val="24"/>
          <w:szCs w:val="24"/>
        </w:rPr>
        <w:t>Kaynaştırma Yoluyla Eğitim ve Başarının Değerlendirilmesi</w:t>
      </w:r>
    </w:p>
    <w:p w:rsidR="008773D4" w:rsidRPr="008773D4" w:rsidRDefault="008773D4" w:rsidP="008773D4">
      <w:pPr>
        <w:jc w:val="center"/>
        <w:rPr>
          <w:rFonts w:ascii="Times New Roman" w:hAnsi="Times New Roman" w:cs="Times New Roman"/>
          <w:b/>
          <w:sz w:val="24"/>
          <w:szCs w:val="24"/>
        </w:rPr>
      </w:pPr>
      <w:r w:rsidRPr="008773D4">
        <w:rPr>
          <w:rFonts w:ascii="Times New Roman" w:hAnsi="Times New Roman" w:cs="Times New Roman"/>
          <w:b/>
          <w:sz w:val="24"/>
          <w:szCs w:val="24"/>
        </w:rPr>
        <w:t>Kaynaştırma yoluyla eğitim</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MADDE 23 – (1) Kaynaştırma yoluyla eğitim; özel eğitime ihtiyacı olan bireylerin eğitimlerini, destek eğitim hizmetleri de sağlanarak yetersizliği olmayan akranları ile birlikte resmî ve özel; okul öncesi, ilköğretim, orta öğretim ve yaygın eğitim kurumlarında sürdürmeleri esasına dayanan özel eğitim uygulamalarıdır.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(2) Kaynaştırma yoluyla eğitim uygulamalarında aşağıdaki hususlar dikkate alınır: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a) Özel eğitime ihtiyacı olan bireylerin, eğitimlerini öncelikle yetersizliği olmayan akranları ile birlikte aynı kurumda sürdürmeleri sağlanır.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b) Özel eğitime ihtiyacı olan bireyler kaynaştırma yoluyla eğitimlerini, yetersizliği olmayan akranları ile birlikte aynı sınıfta tam zamanlı sürdürebilecekleri gibi özel eğitim sınıflarında yarı zamanlı olarak da sürdürebilirler. Yarı zamanlı kaynaştırma uygulamaları, öğrencilerin bazı derslere yetersizliği olmayan akranlarıyla birlikte aynı sınıfta ya da ders dışı etkinliklere birlikte katılmaları yoluyla yapılır.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c) Eğitim hizmetleri, bireylerin eğitim performansına ve öncelikli ihtiyaçlarına göre planlanır.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 xml:space="preserve">ç) Kaynaştırma yoluyla eğitimlerine devam eden öğrenciler, yetersizliği olmayan akranlarıyla aynı sınıfta eğitim görmeleri hâlinde kayıtlı bulundukları okulda uygulanan eğitim programını; özel eğitim sınıflarında ise sınıfın türüne göre bu Yönetmeliğin 26 </w:t>
      </w:r>
      <w:proofErr w:type="spellStart"/>
      <w:r w:rsidRPr="008773D4">
        <w:rPr>
          <w:rFonts w:ascii="Times New Roman" w:hAnsi="Times New Roman" w:cs="Times New Roman"/>
          <w:sz w:val="24"/>
          <w:szCs w:val="24"/>
        </w:rPr>
        <w:t>ncı</w:t>
      </w:r>
      <w:proofErr w:type="spellEnd"/>
      <w:r w:rsidRPr="008773D4">
        <w:rPr>
          <w:rFonts w:ascii="Times New Roman" w:hAnsi="Times New Roman" w:cs="Times New Roman"/>
          <w:sz w:val="24"/>
          <w:szCs w:val="24"/>
        </w:rPr>
        <w:t xml:space="preserve"> ve 27 </w:t>
      </w:r>
      <w:proofErr w:type="spellStart"/>
      <w:r w:rsidRPr="008773D4">
        <w:rPr>
          <w:rFonts w:ascii="Times New Roman" w:hAnsi="Times New Roman" w:cs="Times New Roman"/>
          <w:sz w:val="24"/>
          <w:szCs w:val="24"/>
        </w:rPr>
        <w:t>nci</w:t>
      </w:r>
      <w:proofErr w:type="spellEnd"/>
      <w:r w:rsidRPr="008773D4">
        <w:rPr>
          <w:rFonts w:ascii="Times New Roman" w:hAnsi="Times New Roman" w:cs="Times New Roman"/>
          <w:sz w:val="24"/>
          <w:szCs w:val="24"/>
        </w:rPr>
        <w:t xml:space="preserve"> maddelerinde belirtilen eğitim programını takip ederler. Öğrencilerin takip ettikleri programlar temel alınarak eğitim performansı ve ihtiyaçları doğrultusunda BEP hazırlanır.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d) Kaynaştırma yoluyla eğitim uygulaması yapılan okul ve kurumlarda, bu Yönetmeliğin 73 üncü maddesinde yer alan hükümler doğrultusunda BEP geliştirme birimi oluşturulur.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e) Kaynaştırma yoluyla eğitim uygulamaları yapılan okul ve kurumlarda öğrencinin yetersizliğine uygun fiziksel, sosyal, psikolojik ortam düzenlemeleri yapılır. Bu okul ve kurumlarda öğrenciye verilen eğitim hizmetlerinin etkin bir biçimde yürütülebilmesi amacıyla özel araç-gereç ile eğitim materyalleri sağlanır ve destek eğitim odası açılır.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f) Kaynaştırma uygulamaları yapılan okul ve kurumlardaki personel, diğer öğrenciler ve onların aileleri özel eğitime ihtiyacı olan bireylerin özellikleri hakkında okul idaresince yapılan planlama doğrultusunda RAM, BEP geliştirme birimindeki ilgili kişilerce bilgilendirilir.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g) Okul ve kurumlarda, kaynaştırma yoluyla eğitim alacak bireylerin bir sınıfa en fazla iki birey olacak şekilde eşit olarak dağılımı sağlanır.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lastRenderedPageBreak/>
        <w:t>ğ) Kaynaştırma yoluyla eğitimlerine devam eden bireylerin bulunduğu sınıflarda sınıf mevcutları; okul öncesi eğitim kurumlarında özel eğitime ihtiyacı olan iki bireyin bulunduğu sınıflarda 10, bir bireyin bulunduğu sınıflarda 20 öğrenciyi geçmeyecek şekilde düzenlenir. Diğer kademelerdeki eğitim kurumlarında ise sınıf mevcutları; özel eğitime ihtiyacı olan iki bireyin bulunduğu sınıflarda 25, bir bireyin bulunduğu sınıflarda 35 öğrenciyi geçmeyecek şekilde düzenlenir.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h) Kaynaştırma yoluyla eğitimlerine devam eden öğrencilerin destek eğitim hizmeti almaları için gerekli düzenlemeler yapılır. Bu doğrultuda destek eğitim hizmetleri, sınıf içi yardım şeklinde olabileceği gibi destek eğitim odalarında da verilebilir.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ı) Özel eğitim okul ve kurumlarına devam eden öğrencilerin kaynaştırma uygulamaları kapsamında, yetersizliği olmayan akranlarının devam ettiği okul ve kurumlarda bazı derslere ve sosyal etkinliklere katılması için gerekli tedbirler alınır.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i) Kaynaştırma yoluyla eğitimlerine devam eden öğrencilerin yetersizlik türü, eğitim performansı ve ihtiyacına göre; araç-gereç, eğitim materyalleri, öğretim yöntem ve teknikleri ile ölçme ve değerlendirmede gerekli tedbirler alınarak düzenlemeler yapılır.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j) Kaynaştırma uygulamaları ilköğretim programlarını uygulayan özel eğitim okul ve kurumlarında; yetersizliği olmayan öğrencilerin, yetersizliği olan öğrencilerle aynı sınıfta eğitim görmeleri yoluyla ya da yetersizliği olmayan öğrenciler için bu okul ve kurumların bünyesinde ayrı sınıf açılması şeklinde de uygulanabilir.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k) Yetersizliği olmayan öğrenciler, istekleri doğrultusunda, çevrelerindeki özel eğitim okullarında açılacak sınıflara kayıt yaptırabilirler. Bu sınıfların mevcutları 5’i özel eğitime ihtiyacı olan birey olmak üzere okul öncesi eğitimde en fazla 14, ilköğretim ve ortaöğretimde 20, yaygın eğitimde 10 öğrenciden oluşur.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 xml:space="preserve">l) (Yürürlükten kaldırılmıştır. 21.7.2012/28360 R.G. </w:t>
      </w:r>
      <w:proofErr w:type="gramStart"/>
      <w:r w:rsidRPr="008773D4">
        <w:rPr>
          <w:rFonts w:ascii="Times New Roman" w:hAnsi="Times New Roman" w:cs="Times New Roman"/>
          <w:sz w:val="24"/>
          <w:szCs w:val="24"/>
        </w:rPr>
        <w:t>)</w:t>
      </w:r>
      <w:proofErr w:type="gramEnd"/>
    </w:p>
    <w:p w:rsidR="008773D4" w:rsidRPr="008773D4" w:rsidRDefault="008773D4" w:rsidP="008773D4">
      <w:pPr>
        <w:rPr>
          <w:rFonts w:ascii="Times New Roman" w:hAnsi="Times New Roman" w:cs="Times New Roman"/>
          <w:b/>
          <w:sz w:val="24"/>
          <w:szCs w:val="24"/>
        </w:rPr>
      </w:pPr>
      <w:r w:rsidRPr="008773D4">
        <w:rPr>
          <w:rFonts w:ascii="Times New Roman" w:hAnsi="Times New Roman" w:cs="Times New Roman"/>
          <w:b/>
          <w:sz w:val="24"/>
          <w:szCs w:val="24"/>
        </w:rPr>
        <w:t>Başarının değerlendirilmesi</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MADDE 24 – (1) Kaynaştırma yoluyla eğitimlerine devam eden öğrencilerin başarılarının değerlendirilmesinde ilgili mevzuatın yanında aşağıdaki hususlar dikkate alınır: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 xml:space="preserve">a) Bulunduğu okulun eğitim programını veya denkliği olan bir programı izleyen öğrencilerin başarıları, devam ettikleri okulun sınıf geçme ve sınavlarla ilgili hükümlerine göre değerlendirilir. Ancak, değerlendirmelerde öğrencilerin </w:t>
      </w:r>
      <w:proofErr w:type="spellStart"/>
      <w:r w:rsidRPr="008773D4">
        <w:rPr>
          <w:rFonts w:ascii="Times New Roman" w:hAnsi="Times New Roman" w:cs="Times New Roman"/>
          <w:sz w:val="24"/>
          <w:szCs w:val="24"/>
        </w:rPr>
        <w:t>BEP’leri</w:t>
      </w:r>
      <w:proofErr w:type="spellEnd"/>
      <w:r w:rsidRPr="008773D4">
        <w:rPr>
          <w:rFonts w:ascii="Times New Roman" w:hAnsi="Times New Roman" w:cs="Times New Roman"/>
          <w:sz w:val="24"/>
          <w:szCs w:val="24"/>
        </w:rPr>
        <w:t xml:space="preserve"> dikkate alınır.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b) (Değişik: 14.3.2009/27169 RG) Bulunduğu okulun eğitim programına denkliği olmayan bir özel eğitim programını izleyen öğrencilerin başarılarının değerlendirilmesiyle ilgili işlemler, bu Yönetmeliğin 84 üncü maddesindeki ilgili hükümlere göre yapılır.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c) Öğrencilerin başarılarının değerlendirilmesinde kullanılacak yöntem, teknik, ölçme araçları ve değerlendirme süresi, değerlendirme zamanı, değerlendirme aralıkları, değerlendirmeden sorumlu kişiler ve değerlendirmenin yapılacağı ortam, BEP geliştirme biriminin görüş ve önerileri doğrultusunda belirlenir.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lastRenderedPageBreak/>
        <w:t>ç) Yazma güçlüğü olan öğrenciler ve özel öğrenme güçlüğü olan öğrencilerin değerlendirilmesi sözlü, sözlü ifadede güçlük yaşayan öğrencilerin değerlendirilmesi ise yazılı olarak yapılır. Yazılı ve sözlü ifade etme becerilerinde yetersizliği olan bireyler ise davranışlarının gözlemlenmesi yoluyla değerlendirilir.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d) Yazılı sınavlar öğrencilerin yetersizlik türüne, eğitim performanslarına ve gelişim özelliklerine göre çeşitlendirilir. Sınavlar kısa cevaplı ve az sorulu olarak düzenlenir.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e) Öğrenciler, yetersizliklerinden kaynaklanan güçlüklerini gidermek amacıyla sınavlarda uygun araç-gereç, cihaz ve yöntemlerden yararlandırılır. İhtiyacı olan bireyler için yazılı sınavlarda refakat etmek üzere bir öğretmen görevlendirilir.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f) Görme yetersizliği olan öğrencilerin yazılı sınavlarda Braille yazı olarak verdiği cevaplar sınavdan hemen sonra öğretmenin öğrenciye okutmasıyla değerlendirilir. Bu öğrenciler, çizimli ve şekilli sorulardan muaf tutulurlar. Az gören öğrenciler için sınav soruları kalın ve büyük puntolu hazırlanır.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g) (Değişik 21.7.2012/28360 R.G.) İşitme ve hafif düzeyde zihinsel yetersizliği olan öğrenciler ilköğretim ve ortaöğretimde, istekleri doğrultusunda yabancı dil programlarındaki bazı bilgi ve becerilerin öğretiminden veya dersin tamamından muaf tutulurlar.”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ğ) Zihinsel yetersizliği olan öğrenciler; dikkat, bellekte tutma ve hatırlama güçlükleri dikkate alınarak daha sık aralıklarla değerlendirilirler.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h) Otistik bireyler ile duygusal ve davranış bozukluğu olan öğrencilerin değerlendirilmesi, iletişim özellikleri ile sosyal-duygusal hazır bulunuşlukları dikkate alınarak yapılır.</w:t>
      </w:r>
    </w:p>
    <w:p w:rsidR="008773D4"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 xml:space="preserve">ı) Dikkat eksikliği ve </w:t>
      </w:r>
      <w:proofErr w:type="spellStart"/>
      <w:r w:rsidRPr="008773D4">
        <w:rPr>
          <w:rFonts w:ascii="Times New Roman" w:hAnsi="Times New Roman" w:cs="Times New Roman"/>
          <w:sz w:val="24"/>
          <w:szCs w:val="24"/>
        </w:rPr>
        <w:t>hiperaktivite</w:t>
      </w:r>
      <w:proofErr w:type="spellEnd"/>
      <w:r w:rsidRPr="008773D4">
        <w:rPr>
          <w:rFonts w:ascii="Times New Roman" w:hAnsi="Times New Roman" w:cs="Times New Roman"/>
          <w:sz w:val="24"/>
          <w:szCs w:val="24"/>
        </w:rPr>
        <w:t xml:space="preserve"> bozukluğu olan öğrencilerin değerlendirilmesi, bu öğrencilerin özellikleri dikkate alınarak daha sık aralıklarla ve kısa süreli sınavlarla yapılır.</w:t>
      </w:r>
    </w:p>
    <w:p w:rsidR="00B63622" w:rsidRPr="008773D4" w:rsidRDefault="008773D4" w:rsidP="008773D4">
      <w:pPr>
        <w:rPr>
          <w:rFonts w:ascii="Times New Roman" w:hAnsi="Times New Roman" w:cs="Times New Roman"/>
          <w:sz w:val="24"/>
          <w:szCs w:val="24"/>
        </w:rPr>
      </w:pPr>
      <w:r w:rsidRPr="008773D4">
        <w:rPr>
          <w:rFonts w:ascii="Times New Roman" w:hAnsi="Times New Roman" w:cs="Times New Roman"/>
          <w:sz w:val="24"/>
          <w:szCs w:val="24"/>
        </w:rPr>
        <w:t>i) Kas ve sinir sistemi bozukluklarına bağlı motor becerilerde yetersizliği olan öğrenciler motor beceri gerektiren derslerin uygulamalı bölümlerinden istekleri doğrultusunda muaf tutulurlar.</w:t>
      </w:r>
    </w:p>
    <w:sectPr w:rsidR="00B63622" w:rsidRPr="008773D4" w:rsidSect="00B636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8773D4"/>
    <w:rsid w:val="002B152F"/>
    <w:rsid w:val="003122A7"/>
    <w:rsid w:val="008773D4"/>
    <w:rsid w:val="009C558B"/>
    <w:rsid w:val="00AE514B"/>
    <w:rsid w:val="00B636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0</DocSecurity>
  <Lines>53</Lines>
  <Paragraphs>15</Paragraphs>
  <ScaleCrop>false</ScaleCrop>
  <Company>NeC</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cp:revision>
  <dcterms:created xsi:type="dcterms:W3CDTF">2015-03-25T06:20:00Z</dcterms:created>
  <dcterms:modified xsi:type="dcterms:W3CDTF">2015-03-25T06:20:00Z</dcterms:modified>
</cp:coreProperties>
</file>